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1D26" w14:textId="77777777" w:rsidR="00530F8D" w:rsidRDefault="002B5046">
      <w:pPr>
        <w:pStyle w:val="Heading1"/>
      </w:pPr>
      <w:bookmarkStart w:id="0" w:name="_Toc256000000"/>
      <w:r>
        <w:t>1226PH</w:t>
      </w:r>
      <w:r>
        <w:tab/>
        <w:t>PASSIVE HOUSE PROJECT - SPECIAL REQUIREMENTS</w:t>
      </w:r>
      <w:bookmarkEnd w:id="0"/>
    </w:p>
    <w:p w14:paraId="67C7E2E4" w14:textId="77777777" w:rsidR="00530F8D" w:rsidRDefault="00530F8D"/>
    <w:p w14:paraId="7A58257B" w14:textId="77777777" w:rsidR="00530F8D" w:rsidRDefault="002B5046">
      <w:pPr>
        <w:pStyle w:val="Heading2"/>
      </w:pPr>
      <w:r>
        <w:t>1.</w:t>
      </w:r>
      <w:r>
        <w:tab/>
        <w:t>GENERAL</w:t>
      </w:r>
    </w:p>
    <w:p w14:paraId="22A2EC07" w14:textId="77777777" w:rsidR="00530F8D" w:rsidRDefault="002B5046">
      <w:r>
        <w:tab/>
        <w:t>This section relates to the implementation and delivery of a Certified Passive House building.  It includes requirements that modify the standard specification sections and clauses.  This section is to be read in conjunction with the contents of this specification.</w:t>
      </w:r>
    </w:p>
    <w:p w14:paraId="5F458442" w14:textId="77777777" w:rsidR="00530F8D" w:rsidRDefault="00530F8D"/>
    <w:p w14:paraId="08EFCF44" w14:textId="77777777" w:rsidR="00530F8D" w:rsidRDefault="002B5046">
      <w:r>
        <w:tab/>
      </w:r>
      <w:r>
        <w:rPr>
          <w:b/>
        </w:rPr>
        <w:t>CERTIFIED PASSIVE HOUSE</w:t>
      </w:r>
    </w:p>
    <w:p w14:paraId="72EF1DC5" w14:textId="77777777" w:rsidR="00530F8D" w:rsidRDefault="00530F8D"/>
    <w:p w14:paraId="5A560600" w14:textId="77777777" w:rsidR="00530F8D" w:rsidRDefault="002B5046">
      <w:pPr>
        <w:pStyle w:val="Heading3"/>
      </w:pPr>
      <w:r>
        <w:t>1.1</w:t>
      </w:r>
      <w:r>
        <w:tab/>
        <w:t>RELATED WORK</w:t>
      </w:r>
    </w:p>
    <w:p w14:paraId="31311C85" w14:textId="77777777" w:rsidR="00530F8D" w:rsidRDefault="002B5046">
      <w:r>
        <w:tab/>
        <w:t xml:space="preserve">  Refer to 1234 DOCUMENTATION</w:t>
      </w:r>
    </w:p>
    <w:p w14:paraId="441FF115" w14:textId="77777777" w:rsidR="00530F8D" w:rsidRDefault="002B5046">
      <w:r>
        <w:tab/>
        <w:t xml:space="preserve">  Refer to 1239 OPERATION &amp; MAINTENANCE</w:t>
      </w:r>
    </w:p>
    <w:p w14:paraId="18709982" w14:textId="77777777" w:rsidR="00530F8D" w:rsidRDefault="002B5046">
      <w:r>
        <w:tab/>
        <w:t xml:space="preserve">  Refer to 1260 PROJECT MANAGEMENT</w:t>
      </w:r>
    </w:p>
    <w:p w14:paraId="32BDD2C4" w14:textId="77777777" w:rsidR="00530F8D" w:rsidRDefault="002B5046">
      <w:r>
        <w:tab/>
        <w:t xml:space="preserve">  Refer to 1270 CONSTRUCTION</w:t>
      </w:r>
    </w:p>
    <w:p w14:paraId="374B6812" w14:textId="77777777" w:rsidR="00530F8D" w:rsidRDefault="00530F8D"/>
    <w:p w14:paraId="62E43D39" w14:textId="77777777" w:rsidR="00530F8D" w:rsidRDefault="002B5046">
      <w:pPr>
        <w:pStyle w:val="Heading3"/>
      </w:pPr>
      <w:r>
        <w:t>1.2</w:t>
      </w:r>
      <w:r>
        <w:tab/>
        <w:t>ABBREVIATIONS AND DEFINITIONS</w:t>
      </w:r>
    </w:p>
    <w:p w14:paraId="690DA6DF" w14:textId="77777777" w:rsidR="00530F8D" w:rsidRDefault="002B5046">
      <w:r>
        <w:tab/>
        <w:t>Refer to the general section 1232 INTERPRETATION &amp; DEFINITIONS for abbreviations and definitions used throughout the specification.</w:t>
      </w:r>
    </w:p>
    <w:p w14:paraId="4BC799D2" w14:textId="77777777" w:rsidR="00530F8D" w:rsidRDefault="00530F8D"/>
    <w:p w14:paraId="4364DAD7" w14:textId="77777777" w:rsidR="00530F8D" w:rsidRDefault="002B5046">
      <w:r>
        <w:tab/>
        <w:t>The following abbreviations are used in this specification section:</w:t>
      </w:r>
    </w:p>
    <w:p w14:paraId="0F2C43DF" w14:textId="77777777" w:rsidR="00530F8D" w:rsidRDefault="002B5046">
      <w:pPr>
        <w:ind w:left="2835" w:hanging="2835"/>
      </w:pPr>
      <w:r>
        <w:tab/>
        <w:t>ACH</w:t>
      </w:r>
      <w:r>
        <w:tab/>
        <w:t>Air changes per hour</w:t>
      </w:r>
    </w:p>
    <w:p w14:paraId="30348CB7" w14:textId="77777777" w:rsidR="00530F8D" w:rsidRDefault="00530F8D"/>
    <w:p w14:paraId="6B0725FD" w14:textId="77777777" w:rsidR="00530F8D" w:rsidRDefault="002B5046">
      <w:r>
        <w:tab/>
        <w:t>The following definitions apply specifically to this section:</w:t>
      </w:r>
    </w:p>
    <w:tbl>
      <w:tblPr>
        <w:tblW w:w="7937" w:type="dxa"/>
        <w:tblInd w:w="1134" w:type="dxa"/>
        <w:tblLayout w:type="fixed"/>
        <w:tblCellMar>
          <w:left w:w="0" w:type="dxa"/>
          <w:right w:w="0" w:type="dxa"/>
        </w:tblCellMar>
        <w:tblLook w:val="04A0" w:firstRow="1" w:lastRow="0" w:firstColumn="1" w:lastColumn="0" w:noHBand="0" w:noVBand="1"/>
      </w:tblPr>
      <w:tblGrid>
        <w:gridCol w:w="2857"/>
        <w:gridCol w:w="4921"/>
        <w:gridCol w:w="159"/>
      </w:tblGrid>
      <w:tr w:rsidR="00530F8D" w14:paraId="3645F4C4" w14:textId="77777777">
        <w:trPr>
          <w:cantSplit/>
        </w:trPr>
        <w:tc>
          <w:tcPr>
            <w:tcW w:w="2857" w:type="dxa"/>
          </w:tcPr>
          <w:p w14:paraId="0C494F21" w14:textId="77777777" w:rsidR="00530F8D" w:rsidRDefault="002B5046">
            <w:pPr>
              <w:ind w:left="0" w:firstLine="0"/>
            </w:pPr>
            <w:r>
              <w:t>Passive House Standard:</w:t>
            </w:r>
          </w:p>
        </w:tc>
        <w:tc>
          <w:tcPr>
            <w:tcW w:w="4921" w:type="dxa"/>
          </w:tcPr>
          <w:p w14:paraId="736D4DF9" w14:textId="77777777" w:rsidR="00530F8D" w:rsidRDefault="002B5046">
            <w:pPr>
              <w:ind w:left="0" w:firstLine="0"/>
            </w:pPr>
            <w:r>
              <w:t xml:space="preserve">The Passive House Standard as determined and administered by the </w:t>
            </w:r>
            <w:proofErr w:type="spellStart"/>
            <w:r>
              <w:t>Passivhaus</w:t>
            </w:r>
            <w:proofErr w:type="spellEnd"/>
            <w:r>
              <w:t xml:space="preserve"> </w:t>
            </w:r>
            <w:proofErr w:type="spellStart"/>
            <w:r>
              <w:t>Institut</w:t>
            </w:r>
            <w:proofErr w:type="spellEnd"/>
            <w:r>
              <w:t>, Darmstadt, Germany.</w:t>
            </w:r>
          </w:p>
        </w:tc>
        <w:tc>
          <w:tcPr>
            <w:tcW w:w="159" w:type="dxa"/>
          </w:tcPr>
          <w:p w14:paraId="43553102" w14:textId="77777777" w:rsidR="00530F8D" w:rsidRDefault="00530F8D">
            <w:pPr>
              <w:ind w:left="0" w:firstLine="0"/>
            </w:pPr>
          </w:p>
        </w:tc>
      </w:tr>
      <w:tr w:rsidR="00530F8D" w14:paraId="511CF4FB" w14:textId="77777777">
        <w:trPr>
          <w:cantSplit/>
        </w:trPr>
        <w:tc>
          <w:tcPr>
            <w:tcW w:w="2857" w:type="dxa"/>
          </w:tcPr>
          <w:p w14:paraId="34CBD148" w14:textId="7CC7F100" w:rsidR="00530F8D" w:rsidRDefault="002B5046">
            <w:pPr>
              <w:ind w:left="0" w:firstLine="0"/>
            </w:pPr>
            <w:r>
              <w:t xml:space="preserve"> </w:t>
            </w:r>
            <w:r w:rsidR="00E37DAE">
              <w:t>MVHR</w:t>
            </w:r>
            <w:r>
              <w:t xml:space="preserve"> Commissioning Standard</w:t>
            </w:r>
          </w:p>
        </w:tc>
        <w:tc>
          <w:tcPr>
            <w:tcW w:w="4921" w:type="dxa"/>
          </w:tcPr>
          <w:p w14:paraId="0A2874FA" w14:textId="406964A4" w:rsidR="00530F8D" w:rsidRDefault="002B5046">
            <w:pPr>
              <w:ind w:left="0" w:firstLine="0"/>
            </w:pPr>
            <w:r>
              <w:t xml:space="preserve">The PHI </w:t>
            </w:r>
            <w:r w:rsidR="00E37DAE">
              <w:t>MVHR</w:t>
            </w:r>
            <w:r>
              <w:t xml:space="preserve"> Final Protocol as determined and administered by the </w:t>
            </w:r>
            <w:proofErr w:type="spellStart"/>
            <w:r>
              <w:t>Passivhaus</w:t>
            </w:r>
            <w:proofErr w:type="spellEnd"/>
            <w:r>
              <w:t xml:space="preserve"> </w:t>
            </w:r>
            <w:proofErr w:type="spellStart"/>
            <w:r>
              <w:t>Institut</w:t>
            </w:r>
            <w:proofErr w:type="spellEnd"/>
            <w:r>
              <w:t>, Darmstadt, Germany.</w:t>
            </w:r>
          </w:p>
        </w:tc>
        <w:tc>
          <w:tcPr>
            <w:tcW w:w="159" w:type="dxa"/>
          </w:tcPr>
          <w:p w14:paraId="4D1C48AD" w14:textId="77777777" w:rsidR="00530F8D" w:rsidRDefault="00530F8D">
            <w:pPr>
              <w:ind w:left="0" w:firstLine="0"/>
            </w:pPr>
          </w:p>
        </w:tc>
      </w:tr>
    </w:tbl>
    <w:p w14:paraId="5EEF1CBF" w14:textId="77777777" w:rsidR="00530F8D" w:rsidRDefault="00530F8D"/>
    <w:p w14:paraId="162EA3E1" w14:textId="77777777" w:rsidR="00530F8D" w:rsidRDefault="002B5046">
      <w:pPr>
        <w:pStyle w:val="Heading3"/>
      </w:pPr>
      <w:r>
        <w:t>1.3</w:t>
      </w:r>
      <w:r>
        <w:tab/>
        <w:t>DOCUMENTS</w:t>
      </w:r>
    </w:p>
    <w:p w14:paraId="1651B613" w14:textId="77777777" w:rsidR="00530F8D" w:rsidRDefault="002B5046">
      <w:r>
        <w:tab/>
        <w:t>Refer to the general section 1233 REFERENCED DOCUMENTS.</w:t>
      </w:r>
    </w:p>
    <w:p w14:paraId="57C2A761" w14:textId="77777777" w:rsidR="00530F8D" w:rsidRDefault="00530F8D"/>
    <w:p w14:paraId="619C2215" w14:textId="77777777" w:rsidR="00530F8D" w:rsidRDefault="002B5046">
      <w:r>
        <w:tab/>
        <w:t>The following documents are specifically referred to in this section:</w:t>
      </w:r>
    </w:p>
    <w:p w14:paraId="3DD46468" w14:textId="77777777" w:rsidR="00530F8D" w:rsidRDefault="00530F8D"/>
    <w:p w14:paraId="5F1100AB" w14:textId="6F13A3E0" w:rsidR="003509E2" w:rsidRDefault="002B5046" w:rsidP="003509E2">
      <w:r>
        <w:tab/>
      </w:r>
      <w:r w:rsidRPr="003509E2">
        <w:t xml:space="preserve">- EN 13829 Thermal Performance of buildings - Determination of air permeability of buildings - Fan pressurisation method, </w:t>
      </w:r>
      <w:r w:rsidR="003509E2" w:rsidRPr="003509E2">
        <w:t>(</w:t>
      </w:r>
      <w:r w:rsidR="003509E2">
        <w:t xml:space="preserve">method A) or ISO 9972 (method 1) for both positive pressure AND negative pressure and the result averaged to determine the leakage rate which is reported in either fan flow rate m3/hr @ 50Pa or ACH and the building net air volume used. The net air volume in accordance with EN 13829 shall be used for calculation of the n50 value. The air leakage test shall only include the conditioned building volume. The air leakage test report shall document the calculation of the indoor air volume or verify on-site architectural calculations.  </w:t>
      </w:r>
    </w:p>
    <w:p w14:paraId="5FD97FC5" w14:textId="37933964" w:rsidR="003509E2" w:rsidRDefault="003509E2" w:rsidP="003509E2">
      <w:r>
        <w:tab/>
        <w:t xml:space="preserve">It is recommended that the test be carried out when the air control layer is still accessible so that needed repairs can be carried out more easily. </w:t>
      </w:r>
    </w:p>
    <w:p w14:paraId="69089DB5" w14:textId="460E3BC3" w:rsidR="003509E2" w:rsidRDefault="003509E2" w:rsidP="003509E2">
      <w:r>
        <w:tab/>
        <w:t xml:space="preserve">It is also recommended that the final air leakage test should be carried out by an institution or person independent of the client or contractor. An air leakage test that has been carried out by a party associated with the project (client, builder or PH designer/consultant) is only acceptable if the test result is signed by someone taking personal responsibility for the accuracy of the information provided.  </w:t>
      </w:r>
    </w:p>
    <w:p w14:paraId="181CCF63" w14:textId="193759A3" w:rsidR="00530F8D" w:rsidRDefault="003509E2" w:rsidP="003509E2">
      <w:r>
        <w:tab/>
        <w:t>For air leakage values between 0.6 h-1 and 1.0 h-1, extensive leakage detection must be carried out during the air leakage test, large leaks that may cause building fabric damage repaired and documentation of this provided with the test results.</w:t>
      </w:r>
    </w:p>
    <w:p w14:paraId="244CC822" w14:textId="77777777" w:rsidR="00530F8D" w:rsidRDefault="00530F8D"/>
    <w:p w14:paraId="30A6788D" w14:textId="77777777" w:rsidR="00530F8D" w:rsidRDefault="002B5046">
      <w:r>
        <w:tab/>
        <w:t>Documents listed above and cited in the clauses that follow are part of this specification.</w:t>
      </w:r>
    </w:p>
    <w:p w14:paraId="7D6B7589" w14:textId="77777777" w:rsidR="00530F8D" w:rsidRDefault="00530F8D"/>
    <w:p w14:paraId="1E891171" w14:textId="77777777" w:rsidR="00530F8D" w:rsidRDefault="002B5046">
      <w:r>
        <w:tab/>
      </w:r>
      <w:r>
        <w:rPr>
          <w:b/>
        </w:rPr>
        <w:t>REQUIREMENTS</w:t>
      </w:r>
    </w:p>
    <w:p w14:paraId="0B6EDB85" w14:textId="77777777" w:rsidR="00530F8D" w:rsidRDefault="00530F8D"/>
    <w:p w14:paraId="36E82B06" w14:textId="77777777" w:rsidR="00530F8D" w:rsidRDefault="002B5046">
      <w:pPr>
        <w:pStyle w:val="Heading3"/>
      </w:pPr>
      <w:r>
        <w:t>1.4</w:t>
      </w:r>
      <w:r>
        <w:tab/>
        <w:t>SPECIAL REQUIREMENTS</w:t>
      </w:r>
    </w:p>
    <w:p w14:paraId="03C75761" w14:textId="77777777" w:rsidR="00530F8D" w:rsidRDefault="002B5046">
      <w:r>
        <w:tab/>
        <w:t>Clauses in this section are additional to or modify clauses in other standard sections.  This section should be read in conjunction with the rest of this specification.</w:t>
      </w:r>
    </w:p>
    <w:p w14:paraId="116FE1AF" w14:textId="77777777" w:rsidR="00530F8D" w:rsidRDefault="00530F8D"/>
    <w:p w14:paraId="0C31A7F5" w14:textId="77777777" w:rsidR="00530F8D" w:rsidRDefault="002B5046">
      <w:pPr>
        <w:pStyle w:val="Heading3"/>
      </w:pPr>
      <w:r>
        <w:lastRenderedPageBreak/>
        <w:t>1.5</w:t>
      </w:r>
      <w:r>
        <w:tab/>
        <w:t>CONTRACTOR'S PASSIVE HOUSE SITE CO-ORDINATOR</w:t>
      </w:r>
    </w:p>
    <w:p w14:paraId="68050A03" w14:textId="77777777" w:rsidR="00530F8D" w:rsidRDefault="002B5046">
      <w:r>
        <w:tab/>
        <w:t xml:space="preserve">The contractor shall designate an </w:t>
      </w:r>
      <w:proofErr w:type="spellStart"/>
      <w:r>
        <w:t>on site</w:t>
      </w:r>
      <w:proofErr w:type="spellEnd"/>
      <w:r>
        <w:t xml:space="preserve"> person (or persons) responsible for instructing workers, overseeing and documenting results for Passive House requirements.</w:t>
      </w:r>
      <w:r>
        <w:br/>
      </w:r>
      <w:r>
        <w:br/>
        <w:t>Notify the Contract Administrator of this person's contact details.</w:t>
      </w:r>
    </w:p>
    <w:p w14:paraId="245E1525" w14:textId="77777777" w:rsidR="00530F8D" w:rsidRDefault="00530F8D"/>
    <w:p w14:paraId="485DF02D" w14:textId="77777777" w:rsidR="00530F8D" w:rsidRDefault="002B5046">
      <w:r>
        <w:tab/>
      </w:r>
      <w:r>
        <w:rPr>
          <w:b/>
        </w:rPr>
        <w:t>DOCUMENTATION</w:t>
      </w:r>
    </w:p>
    <w:p w14:paraId="56D3CFFA" w14:textId="77777777" w:rsidR="00530F8D" w:rsidRDefault="00530F8D"/>
    <w:p w14:paraId="16DE9DAA" w14:textId="77777777" w:rsidR="00530F8D" w:rsidRDefault="002B5046">
      <w:pPr>
        <w:pStyle w:val="Heading3"/>
      </w:pPr>
      <w:r>
        <w:t>1.6</w:t>
      </w:r>
      <w:r>
        <w:tab/>
        <w:t>OPERATIONS &amp; MAINTENANCE MANUAL</w:t>
      </w:r>
    </w:p>
    <w:p w14:paraId="75532F30" w14:textId="77777777" w:rsidR="00530F8D" w:rsidRDefault="002B5046">
      <w:r>
        <w:tab/>
        <w:t>Special requirements for 1239 OPERATION &amp; MAINTENANCE</w:t>
      </w:r>
    </w:p>
    <w:p w14:paraId="134639A1" w14:textId="77777777" w:rsidR="00530F8D" w:rsidRDefault="00530F8D"/>
    <w:p w14:paraId="081D8C44" w14:textId="77777777" w:rsidR="00530F8D" w:rsidRDefault="002B5046">
      <w:r>
        <w:tab/>
        <w:t>An Operations and Maintenance Manual which provides detailed information for owners/building managers on the systems of the building and its ongoing operation and maintenance.</w:t>
      </w:r>
    </w:p>
    <w:p w14:paraId="709AB7B6" w14:textId="77777777" w:rsidR="00530F8D" w:rsidRDefault="00530F8D"/>
    <w:p w14:paraId="7A86A4FE" w14:textId="77777777" w:rsidR="00530F8D" w:rsidRDefault="002B5046">
      <w:pPr>
        <w:pStyle w:val="Heading2"/>
      </w:pPr>
      <w:r>
        <w:t>2.</w:t>
      </w:r>
      <w:r>
        <w:tab/>
        <w:t>MATERIALS, PRODUCTS AND SYSTEMS</w:t>
      </w:r>
    </w:p>
    <w:p w14:paraId="1A74A96C" w14:textId="77777777" w:rsidR="00530F8D" w:rsidRDefault="00530F8D"/>
    <w:p w14:paraId="08946589" w14:textId="77777777" w:rsidR="00530F8D" w:rsidRDefault="002B5046">
      <w:r>
        <w:tab/>
      </w:r>
      <w:r>
        <w:rPr>
          <w:b/>
        </w:rPr>
        <w:t>SUBSTITUTIONS</w:t>
      </w:r>
    </w:p>
    <w:p w14:paraId="4007EF51" w14:textId="77777777" w:rsidR="00530F8D" w:rsidRDefault="00530F8D"/>
    <w:p w14:paraId="0B74D942" w14:textId="77777777" w:rsidR="00530F8D" w:rsidRDefault="002B5046">
      <w:pPr>
        <w:pStyle w:val="Heading3"/>
      </w:pPr>
      <w:r>
        <w:t>2.1</w:t>
      </w:r>
      <w:r>
        <w:tab/>
        <w:t>ACCEPTABLE PRODUCTS AND MATERIAL SUPPLIERS</w:t>
      </w:r>
    </w:p>
    <w:p w14:paraId="1CBF82DC" w14:textId="77777777" w:rsidR="00530F8D" w:rsidRDefault="002B5046">
      <w:r>
        <w:tab/>
        <w:t>Special requirements for 1234 DOCUMENTATION.</w:t>
      </w:r>
    </w:p>
    <w:p w14:paraId="7A0BE924" w14:textId="77777777" w:rsidR="00530F8D" w:rsidRDefault="002B5046">
      <w:r>
        <w:tab/>
        <w:t>Where a product or material supplier is named in this Specification, the product/material must be provided by the named supplier, unless indicated otherwise.  No substitutions will be accepted.</w:t>
      </w:r>
    </w:p>
    <w:p w14:paraId="35FC0543" w14:textId="77777777" w:rsidR="00530F8D" w:rsidRDefault="00530F8D"/>
    <w:p w14:paraId="2062A67F" w14:textId="77777777" w:rsidR="00530F8D" w:rsidRDefault="002B5046">
      <w:pPr>
        <w:pStyle w:val="Heading3"/>
      </w:pPr>
      <w:r>
        <w:t>2.2</w:t>
      </w:r>
      <w:r>
        <w:tab/>
        <w:t>NO SUBSTITUTIONS</w:t>
      </w:r>
    </w:p>
    <w:p w14:paraId="039A10BC" w14:textId="77777777" w:rsidR="00530F8D" w:rsidRDefault="002B5046">
      <w:r>
        <w:tab/>
        <w:t>Special requirements for 1234 DOCUMENTATION.</w:t>
      </w:r>
    </w:p>
    <w:p w14:paraId="4880B16C" w14:textId="77777777" w:rsidR="00530F8D" w:rsidRDefault="002B5046">
      <w:r>
        <w:tab/>
        <w:t>Where specifically stated in the drawings or this Specification, product/material/system substitutions are not permitted, unless otherwise stated or approved in writing by the Contract Administrator or Passive House consultant (if there is one).</w:t>
      </w:r>
    </w:p>
    <w:p w14:paraId="0C234DC3" w14:textId="77777777" w:rsidR="00530F8D" w:rsidRDefault="00530F8D"/>
    <w:p w14:paraId="416AD6EE" w14:textId="77777777" w:rsidR="00530F8D" w:rsidRDefault="002B5046">
      <w:pPr>
        <w:pStyle w:val="Heading3"/>
      </w:pPr>
      <w:r>
        <w:t>2.3</w:t>
      </w:r>
      <w:r>
        <w:tab/>
        <w:t>PROPOSED SUBSTITUTIONS</w:t>
      </w:r>
    </w:p>
    <w:p w14:paraId="3AC43EEE" w14:textId="77777777" w:rsidR="00530F8D" w:rsidRDefault="002B5046">
      <w:r>
        <w:tab/>
        <w:t>Special requirements for 1234 DOCUMENTATION.</w:t>
      </w:r>
    </w:p>
    <w:p w14:paraId="15AEFB78" w14:textId="77777777" w:rsidR="00530F8D" w:rsidRDefault="002B5046">
      <w:r>
        <w:tab/>
        <w:t>Delete the clause with the same title from 1234 DOCUMENTATION.</w:t>
      </w:r>
    </w:p>
    <w:p w14:paraId="74F1D740" w14:textId="77777777" w:rsidR="00530F8D" w:rsidRDefault="00530F8D"/>
    <w:p w14:paraId="7CDB95FA" w14:textId="77777777" w:rsidR="00530F8D" w:rsidRDefault="002B5046">
      <w:pPr>
        <w:pStyle w:val="Heading3"/>
      </w:pPr>
      <w:r>
        <w:t>2.4</w:t>
      </w:r>
      <w:r>
        <w:tab/>
        <w:t>NOTIFICATION OF SUBSTITUTIONS</w:t>
      </w:r>
    </w:p>
    <w:p w14:paraId="0F158F09" w14:textId="77777777" w:rsidR="00530F8D" w:rsidRDefault="002B5046">
      <w:r>
        <w:tab/>
        <w:t>Special requirements for 1234 DOCUMENTATION.</w:t>
      </w:r>
    </w:p>
    <w:p w14:paraId="491CFF72" w14:textId="77777777" w:rsidR="00530F8D" w:rsidRDefault="002B5046">
      <w:r>
        <w:tab/>
        <w:t>Delete the clause with the same title from 1234 DOCUMENTATION.</w:t>
      </w:r>
    </w:p>
    <w:p w14:paraId="78809493" w14:textId="77777777" w:rsidR="00530F8D" w:rsidRDefault="00530F8D"/>
    <w:p w14:paraId="77D0B546" w14:textId="77777777" w:rsidR="00530F8D" w:rsidRDefault="002B5046">
      <w:pPr>
        <w:pStyle w:val="Heading3"/>
      </w:pPr>
      <w:r>
        <w:t>2.5</w:t>
      </w:r>
      <w:r>
        <w:tab/>
        <w:t>ACCEPTANCE OF SUBSTITUTIONS</w:t>
      </w:r>
    </w:p>
    <w:p w14:paraId="1CC73199" w14:textId="77777777" w:rsidR="00530F8D" w:rsidRDefault="002B5046">
      <w:r>
        <w:tab/>
        <w:t>Special requirements for 1234 DOCUMENTATION.</w:t>
      </w:r>
    </w:p>
    <w:p w14:paraId="20C6751A" w14:textId="77777777" w:rsidR="00530F8D" w:rsidRDefault="002B5046">
      <w:r>
        <w:tab/>
        <w:t>Delete the clause with the same title from 1234 DOCUMENTATION.</w:t>
      </w:r>
    </w:p>
    <w:p w14:paraId="78873AF6" w14:textId="77777777" w:rsidR="00530F8D" w:rsidRDefault="00530F8D"/>
    <w:p w14:paraId="76EDEB5F" w14:textId="77777777" w:rsidR="00530F8D" w:rsidRDefault="002B5046">
      <w:pPr>
        <w:pStyle w:val="Heading3"/>
      </w:pPr>
      <w:r>
        <w:t>2.6</w:t>
      </w:r>
      <w:r>
        <w:tab/>
        <w:t>CONTRACTOR VARIATION TO BUILDING CONSENT</w:t>
      </w:r>
    </w:p>
    <w:p w14:paraId="206B8D08" w14:textId="77777777" w:rsidR="00530F8D" w:rsidRDefault="002B5046">
      <w:r>
        <w:tab/>
        <w:t>Special requirements for 1234 DOCUMENTATION.</w:t>
      </w:r>
    </w:p>
    <w:p w14:paraId="590E2693" w14:textId="77777777" w:rsidR="00530F8D" w:rsidRDefault="002B5046">
      <w:r>
        <w:tab/>
        <w:t>Delete the clause with the same title from 1234 DOCUMENTATION.</w:t>
      </w:r>
    </w:p>
    <w:p w14:paraId="0EEAB7DD" w14:textId="77777777" w:rsidR="00530F8D" w:rsidRDefault="00530F8D"/>
    <w:p w14:paraId="5D9C4052" w14:textId="77777777" w:rsidR="00530F8D" w:rsidRDefault="002B5046">
      <w:pPr>
        <w:pStyle w:val="Heading2"/>
      </w:pPr>
      <w:r>
        <w:t>3.</w:t>
      </w:r>
      <w:r>
        <w:tab/>
        <w:t>EXECUTION</w:t>
      </w:r>
    </w:p>
    <w:p w14:paraId="4E5C7BFB" w14:textId="77777777" w:rsidR="00530F8D" w:rsidRDefault="00530F8D"/>
    <w:p w14:paraId="4D0D1F21" w14:textId="77777777" w:rsidR="00530F8D" w:rsidRDefault="002B5046">
      <w:r>
        <w:tab/>
      </w:r>
      <w:r>
        <w:rPr>
          <w:b/>
        </w:rPr>
        <w:t>Construction</w:t>
      </w:r>
    </w:p>
    <w:p w14:paraId="0B7011C1" w14:textId="77777777" w:rsidR="00530F8D" w:rsidRDefault="00530F8D"/>
    <w:p w14:paraId="6565C7A4" w14:textId="77777777" w:rsidR="00530F8D" w:rsidRDefault="002B5046">
      <w:pPr>
        <w:pStyle w:val="Heading3"/>
      </w:pPr>
      <w:r>
        <w:t>3.1</w:t>
      </w:r>
      <w:r>
        <w:tab/>
        <w:t>CONSTRUCTION</w:t>
      </w:r>
    </w:p>
    <w:p w14:paraId="0CA8D711" w14:textId="77777777" w:rsidR="00530F8D" w:rsidRDefault="002B5046">
      <w:r>
        <w:tab/>
        <w:t>The construction details shown in the project drawings have been specifically designed to achieve Passive House certification.</w:t>
      </w:r>
    </w:p>
    <w:p w14:paraId="444F5DA6" w14:textId="77777777" w:rsidR="00530F8D" w:rsidRDefault="002B5046">
      <w:r>
        <w:tab/>
      </w:r>
      <w:r>
        <w:rPr>
          <w:b/>
        </w:rPr>
        <w:t>No deviation from the detailed construction method is permitted unless approved in writing by the Contract Administrator or Passive House consultant (if there is one).</w:t>
      </w:r>
    </w:p>
    <w:p w14:paraId="33C8852B" w14:textId="77777777" w:rsidR="00530F8D" w:rsidRDefault="00530F8D"/>
    <w:p w14:paraId="2EA9909F" w14:textId="77777777" w:rsidR="00530F8D" w:rsidRDefault="002B5046">
      <w:pPr>
        <w:pStyle w:val="Heading3"/>
      </w:pPr>
      <w:r>
        <w:t>3.2</w:t>
      </w:r>
      <w:r>
        <w:tab/>
        <w:t>AIRTIGHTNESS</w:t>
      </w:r>
    </w:p>
    <w:p w14:paraId="3A1E00F9" w14:textId="77777777" w:rsidR="00530F8D" w:rsidRDefault="002B5046">
      <w:r>
        <w:tab/>
        <w:t>Install, test and remedy defects in the airtightness system to ensure that the completed building will comply with the air permeability test requirements.</w:t>
      </w:r>
    </w:p>
    <w:p w14:paraId="2C1828CD" w14:textId="77777777" w:rsidR="00530F8D" w:rsidRDefault="00530F8D"/>
    <w:p w14:paraId="35E1F9DE" w14:textId="77777777" w:rsidR="00530F8D" w:rsidRDefault="002B5046">
      <w:pPr>
        <w:pStyle w:val="Heading3"/>
      </w:pPr>
      <w:r>
        <w:lastRenderedPageBreak/>
        <w:t>3.3</w:t>
      </w:r>
      <w:r>
        <w:tab/>
        <w:t>BLOWER DOOR TESTING</w:t>
      </w:r>
    </w:p>
    <w:p w14:paraId="393B98BC" w14:textId="66F1FA08" w:rsidR="00530F8D" w:rsidRDefault="002B5046">
      <w:r>
        <w:tab/>
        <w:t>Perform a Type B Blower Door test in accordance with EN 13829 at the completion of the installation of the airtightness system and while the airtightness system is accessible for remedying of defects.</w:t>
      </w:r>
    </w:p>
    <w:p w14:paraId="3E5F2B08" w14:textId="77777777" w:rsidR="00530F8D" w:rsidRDefault="00530F8D"/>
    <w:p w14:paraId="6402975D" w14:textId="6C11F034" w:rsidR="00530F8D" w:rsidRDefault="00DF6661">
      <w:r>
        <w:tab/>
      </w:r>
      <w:r w:rsidR="002B5046">
        <w:t>Perform a Type A Blower Door test in accordance with EN 13829 before Practical Completion to ensure the required air permeability test standard is achieved.</w:t>
      </w:r>
    </w:p>
    <w:p w14:paraId="5275B33C" w14:textId="77777777" w:rsidR="00530F8D" w:rsidRDefault="00530F8D"/>
    <w:p w14:paraId="0869E695" w14:textId="0157AFFD" w:rsidR="00530F8D" w:rsidRDefault="002B5046">
      <w:pPr>
        <w:pStyle w:val="Heading3"/>
      </w:pPr>
      <w:r>
        <w:t>3.4</w:t>
      </w:r>
      <w:r>
        <w:tab/>
      </w:r>
      <w:r w:rsidR="00E37DAE">
        <w:t>MVHR</w:t>
      </w:r>
      <w:r>
        <w:t xml:space="preserve"> SYSTEM COMMISSIONING</w:t>
      </w:r>
    </w:p>
    <w:p w14:paraId="61BF972D" w14:textId="72DB6FDB" w:rsidR="00530F8D" w:rsidRDefault="002B5046">
      <w:r>
        <w:tab/>
        <w:t xml:space="preserve">Commission the </w:t>
      </w:r>
      <w:r w:rsidR="00E37DAE">
        <w:t>MVHR</w:t>
      </w:r>
      <w:r>
        <w:t xml:space="preserve"> system in accordance with the </w:t>
      </w:r>
      <w:r w:rsidR="00E37DAE">
        <w:t>MVHR</w:t>
      </w:r>
      <w:r>
        <w:t xml:space="preserve"> commissioning standard.</w:t>
      </w:r>
    </w:p>
    <w:p w14:paraId="0E178A45" w14:textId="77777777" w:rsidR="00530F8D" w:rsidRDefault="00530F8D"/>
    <w:p w14:paraId="38202247" w14:textId="77777777" w:rsidR="00530F8D" w:rsidRDefault="002B5046">
      <w:pPr>
        <w:pStyle w:val="Heading3"/>
      </w:pPr>
      <w:r>
        <w:t>3.5</w:t>
      </w:r>
      <w:r>
        <w:tab/>
        <w:t>HOLD POINTS</w:t>
      </w:r>
    </w:p>
    <w:p w14:paraId="43CFD3E3" w14:textId="77777777" w:rsidR="00530F8D" w:rsidRDefault="00DF6661">
      <w:r>
        <w:tab/>
      </w:r>
      <w:r w:rsidR="002B5046">
        <w:t>Notify of hold point work/item, do not to proceed further with work/item until advised to continue.</w:t>
      </w:r>
    </w:p>
    <w:p w14:paraId="170079FE" w14:textId="77777777" w:rsidR="00530F8D" w:rsidRDefault="002B5046">
      <w:pPr>
        <w:ind w:left="2835" w:hanging="2835"/>
      </w:pPr>
      <w:r>
        <w:tab/>
        <w:t>Notify:</w:t>
      </w:r>
      <w:r>
        <w:tab/>
        <w:t>Contract administrator and Passive House consultant (if there is one)</w:t>
      </w:r>
    </w:p>
    <w:p w14:paraId="0854C68A" w14:textId="77777777" w:rsidR="00530F8D" w:rsidRDefault="002B5046">
      <w:pPr>
        <w:ind w:left="2835" w:hanging="2835"/>
      </w:pPr>
      <w:r>
        <w:tab/>
        <w:t>Notification:</w:t>
      </w:r>
      <w:r>
        <w:tab/>
        <w:t>2 working days prior to work/item being carried out.</w:t>
      </w:r>
    </w:p>
    <w:p w14:paraId="375157A0" w14:textId="77777777" w:rsidR="00530F8D" w:rsidRDefault="00530F8D"/>
    <w:p w14:paraId="469B7781" w14:textId="77777777" w:rsidR="00530F8D" w:rsidRDefault="002B5046">
      <w:r>
        <w:tab/>
        <w:t xml:space="preserve">  Hold Point Schedule</w:t>
      </w:r>
    </w:p>
    <w:tbl>
      <w:tblPr>
        <w:tblW w:w="7937" w:type="dxa"/>
        <w:tblInd w:w="1134" w:type="dxa"/>
        <w:tblLayout w:type="fixed"/>
        <w:tblCellMar>
          <w:left w:w="0" w:type="dxa"/>
          <w:right w:w="0" w:type="dxa"/>
        </w:tblCellMar>
        <w:tblLook w:val="04A0" w:firstRow="1" w:lastRow="0" w:firstColumn="1" w:lastColumn="0" w:noHBand="0" w:noVBand="1"/>
      </w:tblPr>
      <w:tblGrid>
        <w:gridCol w:w="1111"/>
        <w:gridCol w:w="3413"/>
        <w:gridCol w:w="3413"/>
      </w:tblGrid>
      <w:tr w:rsidR="00530F8D" w14:paraId="44DF2F6A" w14:textId="77777777">
        <w:trPr>
          <w:cantSplit/>
        </w:trPr>
        <w:tc>
          <w:tcPr>
            <w:tcW w:w="1111" w:type="dxa"/>
          </w:tcPr>
          <w:p w14:paraId="55447CA8" w14:textId="77777777" w:rsidR="00530F8D" w:rsidRDefault="002B5046">
            <w:pPr>
              <w:ind w:left="0" w:firstLine="0"/>
            </w:pPr>
            <w:r>
              <w:rPr>
                <w:b/>
              </w:rPr>
              <w:t xml:space="preserve">            Location          </w:t>
            </w:r>
          </w:p>
        </w:tc>
        <w:tc>
          <w:tcPr>
            <w:tcW w:w="3413" w:type="dxa"/>
          </w:tcPr>
          <w:p w14:paraId="3F6F2F58" w14:textId="77777777" w:rsidR="00530F8D" w:rsidRDefault="002B5046">
            <w:pPr>
              <w:ind w:left="0" w:firstLine="0"/>
            </w:pPr>
            <w:r>
              <w:rPr>
                <w:b/>
              </w:rPr>
              <w:t xml:space="preserve">            Hold Point          </w:t>
            </w:r>
          </w:p>
        </w:tc>
        <w:tc>
          <w:tcPr>
            <w:tcW w:w="3413" w:type="dxa"/>
          </w:tcPr>
          <w:p w14:paraId="2778158B" w14:textId="77777777" w:rsidR="00530F8D" w:rsidRDefault="002B5046">
            <w:pPr>
              <w:ind w:left="0" w:firstLine="0"/>
            </w:pPr>
            <w:r>
              <w:rPr>
                <w:b/>
              </w:rPr>
              <w:t xml:space="preserve">            Requirement          </w:t>
            </w:r>
          </w:p>
        </w:tc>
      </w:tr>
      <w:tr w:rsidR="00530F8D" w14:paraId="51A94AB7" w14:textId="77777777">
        <w:trPr>
          <w:cantSplit/>
        </w:trPr>
        <w:tc>
          <w:tcPr>
            <w:tcW w:w="1111" w:type="dxa"/>
          </w:tcPr>
          <w:p w14:paraId="412ADF02" w14:textId="77777777" w:rsidR="00530F8D" w:rsidRDefault="002B5046">
            <w:pPr>
              <w:ind w:left="0" w:firstLine="0"/>
            </w:pPr>
            <w:r>
              <w:t>On-site</w:t>
            </w:r>
          </w:p>
        </w:tc>
        <w:tc>
          <w:tcPr>
            <w:tcW w:w="3413" w:type="dxa"/>
          </w:tcPr>
          <w:p w14:paraId="24BA1FFA" w14:textId="77777777" w:rsidR="00530F8D" w:rsidRDefault="002B5046">
            <w:pPr>
              <w:ind w:left="0" w:firstLine="0"/>
            </w:pPr>
            <w:r>
              <w:t>Prior to pouring of concrete floors and foundations</w:t>
            </w:r>
          </w:p>
        </w:tc>
        <w:tc>
          <w:tcPr>
            <w:tcW w:w="3413" w:type="dxa"/>
          </w:tcPr>
          <w:p w14:paraId="136981E8" w14:textId="77777777" w:rsidR="00530F8D" w:rsidRDefault="002B5046">
            <w:pPr>
              <w:ind w:left="0" w:firstLine="0"/>
            </w:pPr>
            <w:r>
              <w:t>Inspection of installation of slab perimeter, under-slab and thermal break insulation</w:t>
            </w:r>
          </w:p>
        </w:tc>
      </w:tr>
      <w:tr w:rsidR="00530F8D" w14:paraId="1DBBD3A3" w14:textId="77777777">
        <w:trPr>
          <w:cantSplit/>
        </w:trPr>
        <w:tc>
          <w:tcPr>
            <w:tcW w:w="1111" w:type="dxa"/>
          </w:tcPr>
          <w:p w14:paraId="66A4397A" w14:textId="77777777" w:rsidR="00530F8D" w:rsidRDefault="002B5046">
            <w:pPr>
              <w:ind w:left="0" w:firstLine="0"/>
            </w:pPr>
            <w:r>
              <w:t>On-site</w:t>
            </w:r>
          </w:p>
        </w:tc>
        <w:tc>
          <w:tcPr>
            <w:tcW w:w="3413" w:type="dxa"/>
          </w:tcPr>
          <w:p w14:paraId="453DE5D8" w14:textId="77777777" w:rsidR="00530F8D" w:rsidRDefault="002B5046">
            <w:pPr>
              <w:ind w:left="0" w:firstLine="0"/>
            </w:pPr>
            <w:r>
              <w:t>Prior to waterproofing of retaining wall insulation</w:t>
            </w:r>
          </w:p>
        </w:tc>
        <w:tc>
          <w:tcPr>
            <w:tcW w:w="3413" w:type="dxa"/>
          </w:tcPr>
          <w:p w14:paraId="72A77837" w14:textId="77777777" w:rsidR="00530F8D" w:rsidRDefault="002B5046">
            <w:pPr>
              <w:ind w:left="0" w:firstLine="0"/>
            </w:pPr>
            <w:r>
              <w:t>Inspection of installation of retaining wall insulation</w:t>
            </w:r>
          </w:p>
        </w:tc>
      </w:tr>
      <w:tr w:rsidR="00530F8D" w14:paraId="612AC9CD" w14:textId="77777777">
        <w:trPr>
          <w:cantSplit/>
        </w:trPr>
        <w:tc>
          <w:tcPr>
            <w:tcW w:w="1111" w:type="dxa"/>
          </w:tcPr>
          <w:p w14:paraId="49B2DF38" w14:textId="77777777" w:rsidR="00530F8D" w:rsidRDefault="002B5046">
            <w:pPr>
              <w:ind w:left="0" w:firstLine="0"/>
            </w:pPr>
            <w:r>
              <w:t>On-site</w:t>
            </w:r>
          </w:p>
        </w:tc>
        <w:tc>
          <w:tcPr>
            <w:tcW w:w="3413" w:type="dxa"/>
          </w:tcPr>
          <w:p w14:paraId="6E2A3A5D" w14:textId="77777777" w:rsidR="00530F8D" w:rsidRDefault="002B5046">
            <w:pPr>
              <w:ind w:left="0" w:firstLine="0"/>
            </w:pPr>
            <w:r>
              <w:t>Prior to installation of INTELLO® internal airtightness system</w:t>
            </w:r>
          </w:p>
        </w:tc>
        <w:tc>
          <w:tcPr>
            <w:tcW w:w="3413" w:type="dxa"/>
          </w:tcPr>
          <w:p w14:paraId="650DE583" w14:textId="75C766D6" w:rsidR="00530F8D" w:rsidRDefault="002B5046">
            <w:pPr>
              <w:ind w:left="0" w:firstLine="0"/>
            </w:pPr>
            <w:r>
              <w:t>Inspection of installation of thermal insulation</w:t>
            </w:r>
          </w:p>
        </w:tc>
      </w:tr>
      <w:tr w:rsidR="00530F8D" w14:paraId="5A951F26" w14:textId="77777777">
        <w:trPr>
          <w:cantSplit/>
        </w:trPr>
        <w:tc>
          <w:tcPr>
            <w:tcW w:w="1111" w:type="dxa"/>
          </w:tcPr>
          <w:p w14:paraId="418C96F0" w14:textId="77777777" w:rsidR="00530F8D" w:rsidRDefault="002B5046">
            <w:pPr>
              <w:ind w:left="0" w:firstLine="0"/>
            </w:pPr>
            <w:r>
              <w:t>On-site</w:t>
            </w:r>
          </w:p>
        </w:tc>
        <w:tc>
          <w:tcPr>
            <w:tcW w:w="3413" w:type="dxa"/>
          </w:tcPr>
          <w:p w14:paraId="49874A61" w14:textId="77777777" w:rsidR="00530F8D" w:rsidRDefault="002B5046">
            <w:pPr>
              <w:ind w:left="0" w:firstLine="0"/>
            </w:pPr>
            <w:r>
              <w:t>Prior to connection of INTELLO® internal airtightness system to external doors and windows</w:t>
            </w:r>
          </w:p>
        </w:tc>
        <w:tc>
          <w:tcPr>
            <w:tcW w:w="3413" w:type="dxa"/>
          </w:tcPr>
          <w:p w14:paraId="663D593B" w14:textId="77777777" w:rsidR="00530F8D" w:rsidRDefault="002B5046">
            <w:pPr>
              <w:ind w:left="0" w:firstLine="0"/>
            </w:pPr>
            <w:r>
              <w:t>Inspection of installation of window and door insulation</w:t>
            </w:r>
          </w:p>
        </w:tc>
      </w:tr>
      <w:tr w:rsidR="00530F8D" w14:paraId="1DDBE65B" w14:textId="77777777">
        <w:trPr>
          <w:cantSplit/>
        </w:trPr>
        <w:tc>
          <w:tcPr>
            <w:tcW w:w="1111" w:type="dxa"/>
          </w:tcPr>
          <w:p w14:paraId="25D8D22B" w14:textId="77777777" w:rsidR="00530F8D" w:rsidRDefault="002B5046">
            <w:pPr>
              <w:ind w:left="0" w:firstLine="0"/>
            </w:pPr>
            <w:r>
              <w:t>On-site</w:t>
            </w:r>
          </w:p>
        </w:tc>
        <w:tc>
          <w:tcPr>
            <w:tcW w:w="3413" w:type="dxa"/>
          </w:tcPr>
          <w:p w14:paraId="0A037B8A" w14:textId="77777777" w:rsidR="00530F8D" w:rsidRDefault="002B5046">
            <w:pPr>
              <w:ind w:left="0" w:firstLine="0"/>
            </w:pPr>
            <w:r>
              <w:t>At completion of plumbing first fix</w:t>
            </w:r>
          </w:p>
        </w:tc>
        <w:tc>
          <w:tcPr>
            <w:tcW w:w="3413" w:type="dxa"/>
          </w:tcPr>
          <w:p w14:paraId="42A70E49" w14:textId="77777777" w:rsidR="00530F8D" w:rsidRDefault="002B5046">
            <w:pPr>
              <w:ind w:left="0" w:firstLine="0"/>
            </w:pPr>
            <w:r>
              <w:t>Confirmation of compliance with documented system design</w:t>
            </w:r>
          </w:p>
        </w:tc>
      </w:tr>
    </w:tbl>
    <w:p w14:paraId="1820F0C0" w14:textId="77777777" w:rsidR="00530F8D" w:rsidRDefault="00530F8D"/>
    <w:p w14:paraId="42C0B85D" w14:textId="77777777" w:rsidR="00530F8D" w:rsidRDefault="002B5046">
      <w:r>
        <w:tab/>
      </w:r>
      <w:r>
        <w:rPr>
          <w:b/>
        </w:rPr>
        <w:t>Certification Documentation</w:t>
      </w:r>
    </w:p>
    <w:p w14:paraId="766D8D9E" w14:textId="77777777" w:rsidR="00530F8D" w:rsidRDefault="00530F8D"/>
    <w:p w14:paraId="63DECB53" w14:textId="77777777" w:rsidR="00530F8D" w:rsidRDefault="002B5046">
      <w:pPr>
        <w:pStyle w:val="Heading3"/>
      </w:pPr>
      <w:r>
        <w:t>3.6</w:t>
      </w:r>
      <w:r>
        <w:tab/>
        <w:t>PHOTOGRAPHS</w:t>
      </w:r>
    </w:p>
    <w:p w14:paraId="752B22C4" w14:textId="77777777" w:rsidR="00530F8D" w:rsidRDefault="002B5046">
      <w:r>
        <w:tab/>
        <w:t>Refer to 1260 PROJECT MANAGEMENT for requirements for photographs.</w:t>
      </w:r>
    </w:p>
    <w:p w14:paraId="12E19D76" w14:textId="77777777" w:rsidR="00530F8D" w:rsidRDefault="00530F8D"/>
    <w:p w14:paraId="74626CD7" w14:textId="77777777" w:rsidR="00530F8D" w:rsidRDefault="002B5046">
      <w:pPr>
        <w:pStyle w:val="Heading3"/>
      </w:pPr>
      <w:r>
        <w:t>3.7</w:t>
      </w:r>
      <w:r>
        <w:tab/>
        <w:t>CONTRACTOR’S DECLARATION</w:t>
      </w:r>
    </w:p>
    <w:p w14:paraId="7EF65E0D" w14:textId="77777777" w:rsidR="00530F8D" w:rsidRDefault="002B5046">
      <w:r>
        <w:tab/>
        <w:t>Supply to the Contract Administrator and Passive House consultant (if there is one) a signed Contractor's Declaration in a form acceptable to the Passive House Certifier and in accordance with ~</w:t>
      </w:r>
      <w:proofErr w:type="spellStart"/>
      <w:r>
        <w:t>reuquirement</w:t>
      </w:r>
      <w:proofErr w:type="spellEnd"/>
      <w:r>
        <w:t>~ at Practical Completion.</w:t>
      </w:r>
    </w:p>
    <w:p w14:paraId="4C8312EE" w14:textId="77777777" w:rsidR="00530F8D" w:rsidRDefault="00530F8D"/>
    <w:p w14:paraId="5B7A1830" w14:textId="77777777" w:rsidR="00530F8D" w:rsidRDefault="002B5046">
      <w:pPr>
        <w:pStyle w:val="Heading3"/>
      </w:pPr>
      <w:r>
        <w:t>3.8</w:t>
      </w:r>
      <w:r>
        <w:tab/>
        <w:t>AIR PERMEABILITY TEST REPORT</w:t>
      </w:r>
    </w:p>
    <w:p w14:paraId="75FEE092" w14:textId="77777777" w:rsidR="00530F8D" w:rsidRDefault="002B5046">
      <w:r>
        <w:tab/>
        <w:t>Supply to the Contract Administrator and Passive House consultant (if there is one) an air permeability test report in a form acceptable to the Passive House Certifier at Practical Completion.</w:t>
      </w:r>
    </w:p>
    <w:p w14:paraId="4DFA39E6" w14:textId="77777777" w:rsidR="00530F8D" w:rsidRDefault="00530F8D"/>
    <w:p w14:paraId="138C05F2" w14:textId="447A47F9" w:rsidR="00530F8D" w:rsidRDefault="002B5046">
      <w:pPr>
        <w:pStyle w:val="Heading3"/>
      </w:pPr>
      <w:r>
        <w:t>3.9</w:t>
      </w:r>
      <w:r>
        <w:tab/>
      </w:r>
      <w:r w:rsidR="00E37DAE">
        <w:t>MVHR</w:t>
      </w:r>
      <w:r>
        <w:t xml:space="preserve"> COMMISSIONING REPORT</w:t>
      </w:r>
    </w:p>
    <w:p w14:paraId="7DCCE323" w14:textId="6F5C7469" w:rsidR="00530F8D" w:rsidRDefault="002B5046">
      <w:r>
        <w:tab/>
        <w:t xml:space="preserve">Supply to the Contract Administrator and Passive House consultant (if there is one) a </w:t>
      </w:r>
      <w:r w:rsidR="00E37DAE">
        <w:t>MVHR</w:t>
      </w:r>
      <w:r>
        <w:t xml:space="preserve"> commissioning test report in a form acceptable to the Passive House Certifier at Practical Completion.</w:t>
      </w:r>
    </w:p>
    <w:p w14:paraId="3832A7D5" w14:textId="77777777" w:rsidR="00530F8D" w:rsidRDefault="00530F8D"/>
    <w:p w14:paraId="0A5D626F" w14:textId="77777777" w:rsidR="00530F8D" w:rsidRDefault="002B5046">
      <w:pPr>
        <w:pStyle w:val="Heading3"/>
      </w:pPr>
      <w:r>
        <w:t>3.10</w:t>
      </w:r>
      <w:r>
        <w:tab/>
        <w:t>OTHER DOCUMENTATION</w:t>
      </w:r>
    </w:p>
    <w:p w14:paraId="3B95FDD0" w14:textId="77777777" w:rsidR="00530F8D" w:rsidRDefault="002B5046">
      <w:r>
        <w:tab/>
        <w:t>Obtain required documents from the relevant parties for delivery to the Contract Administrator and Passive House consultant (if there is one) at Practical Completion.</w:t>
      </w:r>
    </w:p>
    <w:p w14:paraId="0436E4F7" w14:textId="77777777" w:rsidR="00530F8D" w:rsidRDefault="00530F8D"/>
    <w:p w14:paraId="48FA8762" w14:textId="77777777" w:rsidR="00530F8D" w:rsidRDefault="002B5046">
      <w:pPr>
        <w:pStyle w:val="Heading2"/>
      </w:pPr>
      <w:r>
        <w:t>4.</w:t>
      </w:r>
      <w:r>
        <w:tab/>
        <w:t>SELECTIONS</w:t>
      </w:r>
    </w:p>
    <w:p w14:paraId="4E28A885" w14:textId="77777777" w:rsidR="00530F8D" w:rsidRDefault="00530F8D"/>
    <w:p w14:paraId="08D5E211" w14:textId="77777777" w:rsidR="00530F8D" w:rsidRDefault="002B5046">
      <w:pPr>
        <w:pStyle w:val="Heading3"/>
      </w:pPr>
      <w:r>
        <w:t>4.1</w:t>
      </w:r>
      <w:r>
        <w:tab/>
        <w:t>PRODUCTS AND MATERIALS</w:t>
      </w:r>
    </w:p>
    <w:p w14:paraId="104E614C" w14:textId="77777777" w:rsidR="00530F8D" w:rsidRDefault="002B5046">
      <w:r>
        <w:tab/>
        <w:t xml:space="preserve">  Refer to the project drawings and the rest of the specification sections.</w:t>
      </w:r>
    </w:p>
    <w:p w14:paraId="29F76026" w14:textId="77777777" w:rsidR="00530F8D" w:rsidRDefault="00530F8D"/>
    <w:p w14:paraId="12306CD8" w14:textId="77777777" w:rsidR="00530F8D" w:rsidRDefault="002B5046">
      <w:pPr>
        <w:pStyle w:val="Heading3"/>
      </w:pPr>
      <w:r>
        <w:lastRenderedPageBreak/>
        <w:t>4.2</w:t>
      </w:r>
      <w:r>
        <w:tab/>
        <w:t>AIR PERMEABILITY TEST RESULT</w:t>
      </w:r>
    </w:p>
    <w:p w14:paraId="66CC688B" w14:textId="0738D8EE" w:rsidR="00530F8D" w:rsidRDefault="002B5046">
      <w:pPr>
        <w:ind w:left="2835" w:hanging="2835"/>
      </w:pPr>
      <w:r>
        <w:tab/>
        <w:t>≤ 0.6 ACH</w:t>
      </w:r>
      <w:r>
        <w:tab/>
        <w:t>Type A test result in accordance with EN 13829.</w:t>
      </w:r>
    </w:p>
    <w:p w14:paraId="4AD380AD" w14:textId="77777777" w:rsidR="00530F8D" w:rsidRDefault="00530F8D"/>
    <w:p w14:paraId="2EFC4112" w14:textId="77777777" w:rsidR="00530F8D" w:rsidRDefault="00530F8D"/>
    <w:sectPr w:rsidR="00530F8D">
      <w:type w:val="continuous"/>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9E575" w14:textId="77777777" w:rsidR="00E46053" w:rsidRDefault="00E46053">
      <w:r>
        <w:separator/>
      </w:r>
    </w:p>
  </w:endnote>
  <w:endnote w:type="continuationSeparator" w:id="0">
    <w:p w14:paraId="488FFBAB" w14:textId="77777777" w:rsidR="00E46053" w:rsidRDefault="00E4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1FDB" w14:textId="77777777" w:rsidR="00E46053" w:rsidRDefault="00E46053">
      <w:r>
        <w:separator/>
      </w:r>
    </w:p>
  </w:footnote>
  <w:footnote w:type="continuationSeparator" w:id="0">
    <w:p w14:paraId="4CCF1FAC" w14:textId="77777777" w:rsidR="00E46053" w:rsidRDefault="00E46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9C252F-E9C6-4A83-943E-3617936DF532}"/>
    <w:docVar w:name="dgnword-eventsink" w:val="2762290727744"/>
  </w:docVars>
  <w:rsids>
    <w:rsidRoot w:val="00530F8D"/>
    <w:rsid w:val="000A2BFE"/>
    <w:rsid w:val="002321C5"/>
    <w:rsid w:val="002B5046"/>
    <w:rsid w:val="003509E2"/>
    <w:rsid w:val="00530F8D"/>
    <w:rsid w:val="00664547"/>
    <w:rsid w:val="00DF6661"/>
    <w:rsid w:val="00E37DAE"/>
    <w:rsid w:val="00E4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E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18D"/>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link w:val="Heading1Char"/>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HeaderChar">
    <w:name w:val="Header Char"/>
    <w:basedOn w:val="DefaultParagraphFont"/>
    <w:link w:val="Header"/>
    <w:uiPriority w:val="99"/>
    <w:rsid w:val="00E61ABE"/>
    <w:rPr>
      <w:rFonts w:ascii="Arial" w:hAnsi="Arial"/>
      <w:sz w:val="16"/>
    </w:rPr>
  </w:style>
  <w:style w:type="paragraph" w:styleId="Footer">
    <w:name w:val="footer"/>
    <w:basedOn w:val="Normal"/>
    <w:link w:val="Foot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FooterChar">
    <w:name w:val="Footer Char"/>
    <w:basedOn w:val="DefaultParagraphFont"/>
    <w:link w:val="Footer"/>
    <w:uiPriority w:val="99"/>
    <w:rsid w:val="00E61ABE"/>
    <w:rPr>
      <w:rFonts w:ascii="Arial" w:hAnsi="Arial"/>
      <w:sz w:val="16"/>
    </w:rPr>
  </w:style>
  <w:style w:type="character" w:customStyle="1" w:styleId="Heading1Char">
    <w:name w:val="Heading 1 Char"/>
    <w:basedOn w:val="DefaultParagraphFont"/>
    <w:link w:val="Heading1"/>
    <w:uiPriority w:val="9"/>
    <w:rsid w:val="0001712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61ABE"/>
    <w:rPr>
      <w:rFonts w:ascii="Arial" w:eastAsiaTheme="majorEastAsia" w:hAnsi="Arial" w:cstheme="majorBidi"/>
      <w:b/>
      <w:bCs/>
      <w:sz w:val="20"/>
      <w:szCs w:val="26"/>
    </w:rPr>
  </w:style>
  <w:style w:type="character" w:customStyle="1" w:styleId="GuidanceNote">
    <w:name w:val="Guidance Note"/>
    <w:basedOn w:val="DefaultParagraphFont"/>
    <w:uiPriority w:val="1"/>
    <w:qFormat/>
    <w:rsid w:val="000B327F"/>
    <w:rPr>
      <w:rFonts w:ascii="Arial" w:hAnsi="Arial"/>
      <w:i/>
      <w:noProof/>
      <w:vanish/>
      <w:color w:val="00B050"/>
      <w:sz w:val="18"/>
      <w:u w:color="00B050"/>
      <w:lang w:val="en-NZ"/>
    </w:rPr>
  </w:style>
  <w:style w:type="character" w:customStyle="1" w:styleId="Heading3Char">
    <w:name w:val="Heading 3 Char"/>
    <w:basedOn w:val="DefaultParagraphFont"/>
    <w:link w:val="Heading3"/>
    <w:uiPriority w:val="9"/>
    <w:rsid w:val="00017124"/>
    <w:rPr>
      <w:rFonts w:ascii="Arial" w:eastAsiaTheme="majorEastAsia" w:hAnsi="Arial" w:cstheme="majorBidi"/>
      <w:bCs/>
      <w:sz w:val="20"/>
    </w:rPr>
  </w:style>
  <w:style w:type="paragraph" w:styleId="TOCHeading">
    <w:name w:val="TOC Heading"/>
    <w:basedOn w:val="Heading1"/>
    <w:next w:val="Normal"/>
    <w:uiPriority w:val="39"/>
    <w:semiHidden/>
    <w:unhideWhenUsed/>
    <w:qFormat/>
    <w:rsid w:val="0039384E"/>
    <w:pPr>
      <w:pageBreakBefore w:val="0"/>
      <w:suppressLineNumbers w:val="0"/>
      <w:tabs>
        <w:tab w:val="clear" w:pos="1134"/>
        <w:tab w:val="clear" w:pos="2835"/>
        <w:tab w:val="clear" w:pos="3969"/>
        <w:tab w:val="clear" w:pos="5103"/>
        <w:tab w:val="clear" w:pos="6237"/>
        <w:tab w:val="clear" w:pos="7371"/>
        <w:tab w:val="clear" w:pos="9072"/>
      </w:tabs>
      <w:spacing w:before="480" w:line="276" w:lineRule="auto"/>
      <w:ind w:left="0" w:firstLine="0"/>
      <w:outlineLvl w:val="9"/>
    </w:pPr>
    <w:rPr>
      <w:rFonts w:asciiTheme="majorHAnsi" w:hAnsiTheme="majorHAnsi"/>
      <w:color w:val="2F5496" w:themeColor="accent1" w:themeShade="BF"/>
      <w:lang w:val="en-US" w:eastAsia="ja-JP"/>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39384E"/>
    <w:rPr>
      <w:color w:val="0563C1" w:themeColor="hyperlink"/>
      <w:u w:val="single"/>
    </w:rPr>
  </w:style>
  <w:style w:type="paragraph" w:styleId="BalloonText">
    <w:name w:val="Balloon Text"/>
    <w:basedOn w:val="Normal"/>
    <w:link w:val="BalloonTextChar"/>
    <w:uiPriority w:val="99"/>
    <w:semiHidden/>
    <w:unhideWhenUsed/>
    <w:rsid w:val="0039384E"/>
    <w:rPr>
      <w:rFonts w:ascii="Tahoma" w:hAnsi="Tahoma" w:cs="Tahoma"/>
      <w:sz w:val="16"/>
      <w:szCs w:val="16"/>
    </w:rPr>
  </w:style>
  <w:style w:type="character" w:customStyle="1" w:styleId="BalloonTextChar">
    <w:name w:val="Balloon Text Char"/>
    <w:basedOn w:val="DefaultParagraphFont"/>
    <w:link w:val="BalloonText"/>
    <w:uiPriority w:val="99"/>
    <w:semiHidden/>
    <w:rsid w:val="0039384E"/>
    <w:rPr>
      <w:rFonts w:ascii="Tahoma" w:hAnsi="Tahoma" w:cs="Tahoma"/>
      <w:sz w:val="16"/>
      <w:szCs w:val="16"/>
    </w:rPr>
  </w:style>
  <w:style w:type="character" w:customStyle="1" w:styleId="ProductLink">
    <w:name w:val="Product Link"/>
    <w:basedOn w:val="DefaultParagraphFont"/>
    <w:uiPriority w:val="1"/>
    <w:qFormat/>
    <w:rsid w:val="003C3920"/>
    <w:rPr>
      <w:rFonts w:ascii="Arial" w:hAnsi="Arial"/>
      <w:i/>
      <w:vanish/>
      <w:color w:val="FFFFFF"/>
      <w:sz w:val="18"/>
      <w:u w:color="FFFFFF"/>
      <w:bdr w:val="nil"/>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1213</Words>
  <Characters>6919</Characters>
  <Application>Microsoft Office Word</Application>
  <DocSecurity>0</DocSecurity>
  <Lines>57</Lines>
  <Paragraphs>16</Paragraphs>
  <ScaleCrop>false</ScaleCrop>
  <Company>Construction Information Limited</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Quinn</cp:lastModifiedBy>
  <cp:revision>4</cp:revision>
  <dcterms:created xsi:type="dcterms:W3CDTF">2020-01-31T22:47:00Z</dcterms:created>
  <dcterms:modified xsi:type="dcterms:W3CDTF">2021-01-07T04:16:00Z</dcterms:modified>
</cp:coreProperties>
</file>